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9C" w:rsidRDefault="003F1C9C" w:rsidP="003F1C9C">
      <w:pPr>
        <w:rPr>
          <w:b/>
          <w:bCs/>
        </w:rPr>
      </w:pPr>
    </w:p>
    <w:p w:rsidR="003F1C9C" w:rsidRDefault="004C3A93" w:rsidP="003F1C9C">
      <w:pPr>
        <w:rPr>
          <w:b/>
          <w:bCs/>
        </w:rPr>
      </w:pPr>
      <w:r>
        <w:rPr>
          <w:b/>
          <w:bCs/>
        </w:rPr>
        <w:t>New Schedule 9</w:t>
      </w:r>
      <w:r w:rsidR="003F1C9C">
        <w:rPr>
          <w:b/>
          <w:bCs/>
        </w:rPr>
        <w:t xml:space="preserve"> to Clause 43.04 Development Plan Overlay – Colac West</w:t>
      </w:r>
    </w:p>
    <w:p w:rsidR="003F1C9C" w:rsidRDefault="003F1C9C" w:rsidP="003F1C9C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>New Policy and Schedule</w:t>
      </w:r>
    </w:p>
    <w:p w:rsidR="003F1C9C" w:rsidRDefault="003F1C9C" w:rsidP="003F1C9C">
      <w:pPr>
        <w:rPr>
          <w:b/>
          <w:bCs/>
        </w:rPr>
      </w:pPr>
    </w:p>
    <w:p w:rsidR="003F1C9C" w:rsidRPr="00FC432A" w:rsidRDefault="00666ECF" w:rsidP="003F1C9C">
      <w:pPr>
        <w:rPr>
          <w:b/>
          <w:bCs/>
        </w:rPr>
      </w:pPr>
      <w:r>
        <w:rPr>
          <w:b/>
          <w:bCs/>
        </w:rPr>
        <w:t>SCHEDULE 9</w:t>
      </w:r>
      <w:bookmarkStart w:id="0" w:name="_GoBack"/>
      <w:bookmarkEnd w:id="0"/>
      <w:r w:rsidR="003F1C9C" w:rsidRPr="00FC432A">
        <w:rPr>
          <w:b/>
          <w:bCs/>
        </w:rPr>
        <w:t xml:space="preserve"> TO CLAUSE 43.04 DEVELOPMENT PLAN OVERLAY</w:t>
      </w:r>
    </w:p>
    <w:p w:rsidR="003F1C9C" w:rsidRDefault="003F1C9C" w:rsidP="003F1C9C"/>
    <w:p w:rsidR="003F1C9C" w:rsidRDefault="003F1C9C" w:rsidP="003F1C9C">
      <w:r>
        <w:t>Shown on</w:t>
      </w:r>
      <w:r w:rsidR="004C3A93">
        <w:t xml:space="preserve"> the planning scheme map as DPO9</w:t>
      </w:r>
      <w:r>
        <w:t>.</w:t>
      </w:r>
    </w:p>
    <w:p w:rsidR="003F1C9C" w:rsidRDefault="003F1C9C" w:rsidP="003F1C9C"/>
    <w:p w:rsidR="003F1C9C" w:rsidRPr="00FC432A" w:rsidRDefault="003F1C9C" w:rsidP="003F1C9C">
      <w:r>
        <w:rPr>
          <w:b/>
          <w:bCs/>
        </w:rPr>
        <w:t>COLAC WEST</w:t>
      </w:r>
    </w:p>
    <w:p w:rsidR="003F1C9C" w:rsidRDefault="003F1C9C" w:rsidP="003F1C9C">
      <w:pPr>
        <w:rPr>
          <w:b/>
          <w:bCs/>
        </w:rPr>
      </w:pPr>
    </w:p>
    <w:p w:rsidR="003F1C9C" w:rsidRDefault="003F1C9C" w:rsidP="003F1C9C">
      <w:pPr>
        <w:ind w:left="567" w:hanging="567"/>
        <w:rPr>
          <w:b/>
          <w:bCs/>
        </w:rPr>
      </w:pPr>
      <w:r>
        <w:rPr>
          <w:b/>
          <w:bCs/>
        </w:rPr>
        <w:t>1.0</w:t>
      </w:r>
      <w:r>
        <w:rPr>
          <w:b/>
          <w:bCs/>
        </w:rPr>
        <w:tab/>
        <w:t>Objectives</w:t>
      </w:r>
    </w:p>
    <w:p w:rsidR="003F1C9C" w:rsidRDefault="003F1C9C" w:rsidP="003F1C9C">
      <w:pPr>
        <w:ind w:left="567" w:hanging="567"/>
        <w:rPr>
          <w:b/>
          <w:bCs/>
        </w:rPr>
      </w:pPr>
    </w:p>
    <w:p w:rsidR="003F1C9C" w:rsidRDefault="003F1C9C" w:rsidP="003F1C9C">
      <w:pPr>
        <w:ind w:left="567" w:hanging="567"/>
        <w:rPr>
          <w:bCs/>
        </w:rPr>
      </w:pPr>
      <w:r>
        <w:rPr>
          <w:b/>
          <w:bCs/>
        </w:rPr>
        <w:tab/>
      </w:r>
      <w:r>
        <w:rPr>
          <w:bCs/>
        </w:rPr>
        <w:t>None specified.</w:t>
      </w:r>
    </w:p>
    <w:p w:rsidR="003F1C9C" w:rsidRDefault="003F1C9C" w:rsidP="003F1C9C">
      <w:pPr>
        <w:ind w:left="567" w:hanging="567"/>
        <w:rPr>
          <w:bCs/>
        </w:rPr>
      </w:pPr>
    </w:p>
    <w:p w:rsidR="003F1C9C" w:rsidRPr="00F432A6" w:rsidRDefault="003F1C9C" w:rsidP="003F1C9C">
      <w:pPr>
        <w:ind w:left="567" w:hanging="567"/>
        <w:rPr>
          <w:b/>
          <w:bCs/>
        </w:rPr>
      </w:pPr>
      <w:r w:rsidRPr="00F432A6">
        <w:rPr>
          <w:b/>
          <w:bCs/>
        </w:rPr>
        <w:t>2.0</w:t>
      </w:r>
      <w:r w:rsidRPr="00F432A6">
        <w:rPr>
          <w:b/>
          <w:bCs/>
        </w:rPr>
        <w:tab/>
        <w:t>Requirement before a permit is granted</w:t>
      </w:r>
    </w:p>
    <w:p w:rsidR="003F1C9C" w:rsidRDefault="003F1C9C" w:rsidP="003F1C9C">
      <w:pPr>
        <w:ind w:left="567" w:hanging="567"/>
        <w:rPr>
          <w:bCs/>
        </w:rPr>
      </w:pPr>
    </w:p>
    <w:p w:rsidR="003F1C9C" w:rsidRDefault="003F1C9C" w:rsidP="003F1C9C">
      <w:pPr>
        <w:ind w:left="567" w:hanging="567"/>
        <w:rPr>
          <w:bCs/>
        </w:rPr>
      </w:pPr>
      <w:r>
        <w:rPr>
          <w:bCs/>
        </w:rPr>
        <w:tab/>
        <w:t>A permit may be granted before a development plan has been prepared to the satisfaction of the responsible authority for the following purposes:</w:t>
      </w:r>
    </w:p>
    <w:p w:rsidR="003F1C9C" w:rsidRDefault="003F1C9C" w:rsidP="003F1C9C">
      <w:pPr>
        <w:pStyle w:val="ListParagraph"/>
        <w:numPr>
          <w:ilvl w:val="0"/>
          <w:numId w:val="3"/>
        </w:numPr>
        <w:ind w:left="1022" w:hanging="455"/>
        <w:rPr>
          <w:bCs/>
        </w:rPr>
      </w:pPr>
      <w:r>
        <w:rPr>
          <w:bCs/>
        </w:rPr>
        <w:t>A single dwelling on an existing allotment.</w:t>
      </w:r>
    </w:p>
    <w:p w:rsidR="003F1C9C" w:rsidRDefault="003F1C9C" w:rsidP="003F1C9C">
      <w:pPr>
        <w:pStyle w:val="ListParagraph"/>
        <w:numPr>
          <w:ilvl w:val="0"/>
          <w:numId w:val="3"/>
        </w:numPr>
        <w:ind w:left="1022" w:hanging="455"/>
        <w:rPr>
          <w:bCs/>
        </w:rPr>
      </w:pPr>
      <w:r>
        <w:rPr>
          <w:bCs/>
        </w:rPr>
        <w:t>Subdivision: provided that any permit does not compromise the orderly planning and development of the area.</w:t>
      </w:r>
    </w:p>
    <w:p w:rsidR="003F1C9C" w:rsidRDefault="003F1C9C" w:rsidP="003F1C9C">
      <w:pPr>
        <w:rPr>
          <w:bCs/>
        </w:rPr>
      </w:pPr>
    </w:p>
    <w:p w:rsidR="003F1C9C" w:rsidRPr="00F432A6" w:rsidRDefault="003F1C9C" w:rsidP="003F1C9C">
      <w:pPr>
        <w:ind w:left="567" w:hanging="567"/>
        <w:rPr>
          <w:b/>
          <w:bCs/>
        </w:rPr>
      </w:pPr>
      <w:r w:rsidRPr="00F432A6">
        <w:rPr>
          <w:b/>
          <w:bCs/>
        </w:rPr>
        <w:t>3.0</w:t>
      </w:r>
      <w:r w:rsidRPr="00F432A6">
        <w:rPr>
          <w:b/>
          <w:bCs/>
        </w:rPr>
        <w:tab/>
        <w:t>Conditions and requirements for permits</w:t>
      </w:r>
    </w:p>
    <w:p w:rsidR="003F1C9C" w:rsidRDefault="003F1C9C" w:rsidP="003F1C9C">
      <w:pPr>
        <w:ind w:left="567" w:hanging="567"/>
        <w:rPr>
          <w:bCs/>
        </w:rPr>
      </w:pPr>
    </w:p>
    <w:p w:rsidR="003F1C9C" w:rsidRDefault="003F1C9C" w:rsidP="003F1C9C">
      <w:pPr>
        <w:ind w:left="567" w:hanging="567"/>
        <w:rPr>
          <w:bCs/>
        </w:rPr>
      </w:pPr>
      <w:r>
        <w:rPr>
          <w:bCs/>
        </w:rPr>
        <w:tab/>
        <w:t>The following conditions and/or requirements apply to permits:</w:t>
      </w:r>
    </w:p>
    <w:p w:rsidR="003F1C9C" w:rsidRDefault="003F1C9C" w:rsidP="003F1C9C">
      <w:pPr>
        <w:ind w:left="567" w:hanging="567"/>
        <w:rPr>
          <w:bCs/>
        </w:rPr>
      </w:pPr>
      <w:r>
        <w:rPr>
          <w:bCs/>
        </w:rPr>
        <w:tab/>
      </w:r>
    </w:p>
    <w:p w:rsidR="003F1C9C" w:rsidRPr="003F1C9C" w:rsidRDefault="003F1C9C" w:rsidP="003F1C9C">
      <w:pPr>
        <w:pStyle w:val="ListParagraph"/>
        <w:numPr>
          <w:ilvl w:val="0"/>
          <w:numId w:val="5"/>
        </w:numPr>
        <w:ind w:left="993"/>
        <w:rPr>
          <w:bCs/>
        </w:rPr>
      </w:pPr>
      <w:r>
        <w:rPr>
          <w:bCs/>
        </w:rPr>
        <w:t>A</w:t>
      </w:r>
      <w:r w:rsidRPr="003F1C9C">
        <w:rPr>
          <w:bCs/>
        </w:rPr>
        <w:t xml:space="preserve"> permit for subdivision of land must include conditions which require the owner(s) of the land to enter into an agreement under section 173 of the Planning &amp; Environment Act 1987. The agreement must provide for infrastructure contributions in accordance with the approved Shar</w:t>
      </w:r>
      <w:r>
        <w:rPr>
          <w:bCs/>
        </w:rPr>
        <w:t>ed Infrastructure Funding Plan.</w:t>
      </w:r>
    </w:p>
    <w:p w:rsidR="003F1C9C" w:rsidRDefault="003F1C9C" w:rsidP="003F1C9C">
      <w:pPr>
        <w:ind w:left="567" w:hanging="567"/>
        <w:rPr>
          <w:bCs/>
        </w:rPr>
      </w:pPr>
    </w:p>
    <w:p w:rsidR="003F1C9C" w:rsidRPr="00B03279" w:rsidRDefault="003F1C9C" w:rsidP="003F1C9C">
      <w:pPr>
        <w:ind w:left="567" w:hanging="567"/>
        <w:rPr>
          <w:b/>
          <w:bCs/>
        </w:rPr>
      </w:pPr>
      <w:r w:rsidRPr="00B03279">
        <w:rPr>
          <w:b/>
          <w:bCs/>
        </w:rPr>
        <w:t>4.0</w:t>
      </w:r>
      <w:r w:rsidRPr="00B03279">
        <w:rPr>
          <w:b/>
          <w:bCs/>
        </w:rPr>
        <w:tab/>
        <w:t>Requirements for development plan</w:t>
      </w:r>
    </w:p>
    <w:p w:rsidR="003F1C9C" w:rsidRDefault="003F1C9C" w:rsidP="003F1C9C">
      <w:pPr>
        <w:ind w:left="567" w:hanging="567"/>
        <w:rPr>
          <w:bCs/>
        </w:rPr>
      </w:pPr>
    </w:p>
    <w:p w:rsidR="003F1C9C" w:rsidRDefault="003F1C9C" w:rsidP="003F1C9C">
      <w:pPr>
        <w:ind w:left="567" w:hanging="567"/>
        <w:rPr>
          <w:bCs/>
        </w:rPr>
      </w:pPr>
      <w:r>
        <w:rPr>
          <w:bCs/>
        </w:rPr>
        <w:tab/>
        <w:t>A development plan must include the following requirements:</w:t>
      </w:r>
    </w:p>
    <w:p w:rsidR="003F1C9C" w:rsidRDefault="003F1C9C" w:rsidP="003F1C9C">
      <w:pPr>
        <w:pStyle w:val="ListParagraph"/>
        <w:numPr>
          <w:ilvl w:val="0"/>
          <w:numId w:val="1"/>
        </w:numPr>
        <w:ind w:left="993" w:hanging="426"/>
      </w:pPr>
      <w:r>
        <w:t>A Shared Infrastructure Funding Plan which guides the delivery of shared infrastructure required for the development plan area, by:</w:t>
      </w:r>
    </w:p>
    <w:p w:rsidR="003F1C9C" w:rsidRPr="00432D1B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432D1B">
        <w:t>Identifying the land parcels which are to be developed and quantifying the area and likely development yield of each parcel.</w:t>
      </w:r>
    </w:p>
    <w:p w:rsidR="003F1C9C" w:rsidRPr="00432D1B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>
        <w:t>I</w:t>
      </w:r>
      <w:r w:rsidRPr="00432D1B">
        <w:t>dentifying shared infrastructure required to support development.</w:t>
      </w:r>
    </w:p>
    <w:p w:rsidR="003F1C9C" w:rsidRPr="00432D1B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432D1B">
        <w:t>Identifying the specifications, costs and justification for each item.</w:t>
      </w:r>
    </w:p>
    <w:p w:rsidR="003F1C9C" w:rsidRPr="00432D1B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432D1B">
        <w:t>Apportioning costs to each catchment area in the development plan area and calculating levies payable to ensure delivery of shared infrastructure.</w:t>
      </w:r>
    </w:p>
    <w:p w:rsidR="003F1C9C" w:rsidRPr="00432D1B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432D1B">
        <w:t>Identifying any additional infrastructure items that are to be provided by specific landowners.</w:t>
      </w:r>
    </w:p>
    <w:p w:rsidR="003F1C9C" w:rsidRPr="00432D1B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432D1B">
        <w:t xml:space="preserve">Describing the mechanisms by which the Shared Infrastructure Funding Plan will be implemented, including collection of levies, delivery of infrastructure, </w:t>
      </w:r>
      <w:r w:rsidRPr="00432D1B">
        <w:lastRenderedPageBreak/>
        <w:t>responsibilities for works in-kind and administration of the document (such as indexation).</w:t>
      </w:r>
    </w:p>
    <w:p w:rsidR="003F1C9C" w:rsidRDefault="003F1C9C" w:rsidP="003F1C9C">
      <w:pPr>
        <w:pStyle w:val="ListParagraph"/>
        <w:numPr>
          <w:ilvl w:val="0"/>
          <w:numId w:val="2"/>
        </w:numPr>
        <w:spacing w:before="100" w:beforeAutospacing="1" w:after="100" w:afterAutospacing="1"/>
      </w:pPr>
      <w:r w:rsidRPr="00432D1B">
        <w:t>Providing clear principles regarding obligation of developers to deliver and/or facilitate works.</w:t>
      </w:r>
    </w:p>
    <w:p w:rsidR="003F1C9C" w:rsidRDefault="003F1C9C" w:rsidP="003F1C9C">
      <w:pPr>
        <w:pStyle w:val="ListParagraph"/>
        <w:numPr>
          <w:ilvl w:val="0"/>
          <w:numId w:val="1"/>
        </w:numPr>
        <w:ind w:left="851" w:hanging="284"/>
      </w:pPr>
      <w:r>
        <w:t>The development plan must include the following features: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An east-west extension of Moore Street to connect with Rifle Butts Road.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A new north south connector road from the Lake Colac foreshore to Murray Street along the western boundary of the former High School site.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A service lane along the Murray Street frontage to provide lot access for lots fronting Murray Street.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Maximised road frontage to the Lake Colac foreshore, subject to cultural heritage considerations.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Extension of public open space along the edge of Lake Colac that is not susceptible to flood in a 1AEP event, including a shared pathway along the foreshore, subject to cultural heritage considerations.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Provision for a future connection of a pedestrian link through residential land to the east.</w:t>
      </w:r>
    </w:p>
    <w:p w:rsidR="003F1C9C" w:rsidRDefault="003F1C9C" w:rsidP="003F1C9C">
      <w:pPr>
        <w:pStyle w:val="ListParagraph"/>
        <w:numPr>
          <w:ilvl w:val="1"/>
          <w:numId w:val="1"/>
        </w:numPr>
        <w:ind w:left="1276"/>
      </w:pPr>
      <w:r>
        <w:t>A single stormwater treatment facility to service the development plan area.</w:t>
      </w:r>
    </w:p>
    <w:p w:rsidR="003F1C9C" w:rsidRDefault="003F1C9C" w:rsidP="003F1C9C">
      <w:pPr>
        <w:pStyle w:val="ListParagraph"/>
        <w:numPr>
          <w:ilvl w:val="0"/>
          <w:numId w:val="4"/>
        </w:numPr>
        <w:ind w:left="993" w:hanging="426"/>
        <w:rPr>
          <w:bCs/>
        </w:rPr>
      </w:pPr>
      <w:r>
        <w:rPr>
          <w:bCs/>
        </w:rPr>
        <w:t>The development plan must address the following requirements:</w:t>
      </w:r>
    </w:p>
    <w:p w:rsidR="00151B64" w:rsidRDefault="00151B64" w:rsidP="003F1C9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Internal road network.</w:t>
      </w:r>
    </w:p>
    <w:p w:rsidR="003F1C9C" w:rsidRDefault="003F1C9C" w:rsidP="003F1C9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Public open space.</w:t>
      </w:r>
    </w:p>
    <w:p w:rsidR="003F1C9C" w:rsidRDefault="003F1C9C" w:rsidP="003F1C9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Connectivity to other residential land and public open space.</w:t>
      </w:r>
    </w:p>
    <w:p w:rsidR="003F1C9C" w:rsidRDefault="003F1C9C" w:rsidP="003F1C9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Diversity of lot sizes and proposed density.</w:t>
      </w:r>
    </w:p>
    <w:p w:rsidR="003F1C9C" w:rsidRDefault="003F1C9C" w:rsidP="003F1C9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Provision of community facilities.</w:t>
      </w:r>
    </w:p>
    <w:p w:rsidR="003F1C9C" w:rsidRPr="00B03279" w:rsidRDefault="003F1C9C" w:rsidP="003F1C9C">
      <w:pPr>
        <w:pStyle w:val="ListParagraph"/>
        <w:numPr>
          <w:ilvl w:val="1"/>
          <w:numId w:val="4"/>
        </w:numPr>
        <w:rPr>
          <w:bCs/>
        </w:rPr>
      </w:pPr>
      <w:r>
        <w:rPr>
          <w:bCs/>
        </w:rPr>
        <w:t>Impact of development on flora, fauna and cultural heritage.</w:t>
      </w:r>
    </w:p>
    <w:p w:rsidR="003F1C9C" w:rsidRDefault="003F1C9C"/>
    <w:sectPr w:rsidR="003F1C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31A24"/>
    <w:multiLevelType w:val="hybridMultilevel"/>
    <w:tmpl w:val="07F239B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25F6D7D"/>
    <w:multiLevelType w:val="hybridMultilevel"/>
    <w:tmpl w:val="498E4FD4"/>
    <w:lvl w:ilvl="0" w:tplc="08090003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43320823"/>
    <w:multiLevelType w:val="hybridMultilevel"/>
    <w:tmpl w:val="8EB65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44090"/>
    <w:multiLevelType w:val="hybridMultilevel"/>
    <w:tmpl w:val="4658073A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72EA38B7"/>
    <w:multiLevelType w:val="hybridMultilevel"/>
    <w:tmpl w:val="463E04A8"/>
    <w:lvl w:ilvl="0" w:tplc="930CD884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9C"/>
    <w:rsid w:val="00151B64"/>
    <w:rsid w:val="003E0FCE"/>
    <w:rsid w:val="003F1C9C"/>
    <w:rsid w:val="004C3A93"/>
    <w:rsid w:val="006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163A"/>
  <w15:chartTrackingRefBased/>
  <w15:docId w15:val="{29373FD7-0039-41F2-8F63-9EF2E5A3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9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C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B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6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Clarke</dc:creator>
  <cp:keywords/>
  <dc:description/>
  <cp:lastModifiedBy>Simon Clarke</cp:lastModifiedBy>
  <cp:revision>4</cp:revision>
  <cp:lastPrinted>2023-06-08T04:50:00Z</cp:lastPrinted>
  <dcterms:created xsi:type="dcterms:W3CDTF">2023-06-08T04:37:00Z</dcterms:created>
  <dcterms:modified xsi:type="dcterms:W3CDTF">2023-06-27T00:51:00Z</dcterms:modified>
</cp:coreProperties>
</file>