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3A32A" w14:textId="77777777" w:rsidR="00744D72" w:rsidRDefault="00744D72" w:rsidP="00744D72">
      <w:pPr>
        <w:ind w:left="2880" w:firstLine="720"/>
        <w:rPr>
          <w:rFonts w:ascii="Arial Black" w:hAnsi="Arial Black"/>
          <w:color w:val="365F91" w:themeColor="accent1" w:themeShade="BF"/>
          <w:u w:val="single"/>
        </w:rPr>
      </w:pPr>
      <w:r>
        <w:rPr>
          <w:noProof/>
          <w:lang w:val="en-US"/>
        </w:rPr>
        <w:drawing>
          <wp:anchor distT="0" distB="0" distL="114300" distR="114300" simplePos="0" relativeHeight="251658240" behindDoc="1" locked="0" layoutInCell="1" allowOverlap="1" wp14:anchorId="53FF5D33" wp14:editId="06A75F33">
            <wp:simplePos x="0" y="0"/>
            <wp:positionH relativeFrom="column">
              <wp:posOffset>0</wp:posOffset>
            </wp:positionH>
            <wp:positionV relativeFrom="paragraph">
              <wp:posOffset>0</wp:posOffset>
            </wp:positionV>
            <wp:extent cx="2171700" cy="9501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ESEP_CMYK.png"/>
                    <pic:cNvPicPr/>
                  </pic:nvPicPr>
                  <pic:blipFill rotWithShape="1">
                    <a:blip r:embed="rId5" cstate="print">
                      <a:extLst>
                        <a:ext uri="{28A0092B-C50C-407E-A947-70E740481C1C}">
                          <a14:useLocalDpi xmlns:a14="http://schemas.microsoft.com/office/drawing/2010/main" val="0"/>
                        </a:ext>
                      </a:extLst>
                    </a:blip>
                    <a:srcRect b="27277"/>
                    <a:stretch/>
                  </pic:blipFill>
                  <pic:spPr bwMode="auto">
                    <a:xfrm>
                      <a:off x="0" y="0"/>
                      <a:ext cx="2171700" cy="9501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873D9B" w14:textId="77777777" w:rsidR="00744D72" w:rsidRDefault="00744D72" w:rsidP="00744D72">
      <w:pPr>
        <w:rPr>
          <w:rFonts w:ascii="Arial Black" w:hAnsi="Arial Black"/>
          <w:color w:val="365F91" w:themeColor="accent1" w:themeShade="BF"/>
          <w:u w:val="single"/>
        </w:rPr>
      </w:pPr>
    </w:p>
    <w:p w14:paraId="0D531165" w14:textId="77777777" w:rsidR="00744D72" w:rsidRPr="00744D72" w:rsidRDefault="00744D72" w:rsidP="00744D72">
      <w:pPr>
        <w:rPr>
          <w:rFonts w:ascii="Arial Black" w:hAnsi="Arial Black"/>
          <w:color w:val="365F91" w:themeColor="accent1" w:themeShade="BF"/>
          <w:sz w:val="32"/>
          <w:szCs w:val="32"/>
          <w:u w:val="single"/>
        </w:rPr>
      </w:pPr>
    </w:p>
    <w:p w14:paraId="46CF0380" w14:textId="77777777" w:rsidR="00744D72" w:rsidRDefault="00744D72" w:rsidP="00744D72">
      <w:pPr>
        <w:spacing w:before="120" w:after="40"/>
        <w:rPr>
          <w:color w:val="92CDDC" w:themeColor="accent5" w:themeTint="99"/>
          <w:sz w:val="28"/>
        </w:rPr>
      </w:pPr>
      <w:r w:rsidRPr="00744D72">
        <w:rPr>
          <w:rFonts w:ascii="Arial Black" w:hAnsi="Arial Black"/>
          <w:color w:val="92CDDC" w:themeColor="accent5" w:themeTint="99"/>
          <w:sz w:val="28"/>
        </w:rPr>
        <w:t>News</w:t>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p>
    <w:p w14:paraId="2C075FF0" w14:textId="5B5D5E69" w:rsidR="00BB7F9C" w:rsidRPr="002178FD" w:rsidRDefault="00BB7F9C" w:rsidP="002178FD">
      <w:pPr>
        <w:spacing w:after="40"/>
        <w:rPr>
          <w:rFonts w:ascii="Arial Black" w:hAnsi="Arial Black"/>
          <w:b/>
          <w:bCs/>
          <w:color w:val="365F91" w:themeColor="accent1" w:themeShade="BF"/>
          <w:sz w:val="26"/>
          <w:szCs w:val="26"/>
          <w:lang w:val="en-US"/>
        </w:rPr>
      </w:pPr>
      <w:bookmarkStart w:id="0" w:name="_GoBack"/>
      <w:r w:rsidRPr="00BB7F9C">
        <w:rPr>
          <w:rFonts w:ascii="Arial Black" w:hAnsi="Arial Black"/>
          <w:b/>
          <w:bCs/>
          <w:color w:val="365F91" w:themeColor="accent1" w:themeShade="BF"/>
          <w:sz w:val="26"/>
          <w:szCs w:val="26"/>
          <w:lang w:val="en-US"/>
        </w:rPr>
        <w:t>Discounted accommodation for fire-affected residents</w:t>
      </w:r>
    </w:p>
    <w:bookmarkEnd w:id="0"/>
    <w:p w14:paraId="05B8F173" w14:textId="7C41C867" w:rsidR="002178FD" w:rsidRPr="002178FD" w:rsidRDefault="00A633AE" w:rsidP="002178FD">
      <w:pPr>
        <w:spacing w:after="40"/>
        <w:jc w:val="right"/>
        <w:rPr>
          <w:color w:val="92CDDC" w:themeColor="accent5" w:themeTint="99"/>
          <w:sz w:val="28"/>
        </w:rPr>
      </w:pPr>
      <w:r>
        <w:rPr>
          <w:color w:val="92CDDC" w:themeColor="accent5" w:themeTint="99"/>
          <w:sz w:val="28"/>
        </w:rPr>
        <w:t>2</w:t>
      </w:r>
      <w:r w:rsidR="00000C41">
        <w:rPr>
          <w:color w:val="92CDDC" w:themeColor="accent5" w:themeTint="99"/>
          <w:sz w:val="28"/>
        </w:rPr>
        <w:t>3</w:t>
      </w:r>
      <w:r w:rsidR="00941281">
        <w:rPr>
          <w:color w:val="92CDDC" w:themeColor="accent5" w:themeTint="99"/>
          <w:sz w:val="28"/>
        </w:rPr>
        <w:t xml:space="preserve"> May 2017</w:t>
      </w:r>
    </w:p>
    <w:p w14:paraId="0F70A3BD" w14:textId="77777777" w:rsidR="004C09F8" w:rsidRPr="004C09F8" w:rsidRDefault="004C09F8" w:rsidP="00000C41">
      <w:pPr>
        <w:rPr>
          <w:sz w:val="10"/>
        </w:rPr>
      </w:pPr>
    </w:p>
    <w:p w14:paraId="01153A01" w14:textId="7C280880" w:rsidR="00BB7F9C" w:rsidRPr="00BB7F9C" w:rsidRDefault="00BB7F9C" w:rsidP="00BB7F9C">
      <w:r w:rsidRPr="00BB7F9C">
        <w:t>On behalf of the Otway Coast Committee (OCC), we are pleased to advise that discounted accommodation at the Apollo Bay Recreation Reserve is available for those members of the Wye River and Separation Creek communities who lost houses or who suffered damaged in the fires. </w:t>
      </w:r>
      <w:r w:rsidRPr="00BB7F9C">
        <w:br/>
        <w:t> </w:t>
      </w:r>
      <w:r w:rsidRPr="00BB7F9C">
        <w:br/>
        <w:t>The OCC understand that this is a difficult and trying period for you and your families and we offer for those who need to meet with consultants and contractors during the planning and rebuild of your homes a discounted accommodation rate in Apollo Bay. </w:t>
      </w:r>
      <w:r w:rsidRPr="00BB7F9C">
        <w:br/>
        <w:t>  </w:t>
      </w:r>
      <w:r w:rsidRPr="00BB7F9C">
        <w:br/>
        <w:t>The OCC is able to offer the following rates in which have been discounted to assist and support you through your rebuilding process. </w:t>
      </w:r>
      <w:r w:rsidRPr="00BB7F9C">
        <w:br/>
        <w:t>The below offer is only available through the Off Peak season in which is effective of today’s date and concludes at the end of November 2017 and excludes any Public Holiday’s, Grand Final Weekend or School Holidays. </w:t>
      </w:r>
      <w:r w:rsidRPr="00BB7F9C">
        <w:br/>
        <w:t>  </w:t>
      </w:r>
      <w:r w:rsidRPr="00BB7F9C">
        <w:br/>
        <w:t>If you are looking to book some form of accommodation please keep in mind that throughout the Colac and District Football / Netball season, home games are played at the Apollo Bay Recreation Reserve and to ensure a booking is secured for a cabin or site, we ask if you can please provide two (2) weeks’ notice to avoid any disappointment. </w:t>
      </w:r>
      <w:r w:rsidRPr="00BB7F9C">
        <w:br/>
        <w:t>  </w:t>
      </w:r>
      <w:r w:rsidRPr="00BB7F9C">
        <w:br/>
        <w:t>In order for the Wye River and Separation Creek Communities to obtain this offer we would like you to quote the following code work (</w:t>
      </w:r>
      <w:proofErr w:type="spellStart"/>
      <w:r w:rsidRPr="00BB7F9C">
        <w:t>WyeSep</w:t>
      </w:r>
      <w:proofErr w:type="spellEnd"/>
      <w:r w:rsidRPr="00BB7F9C">
        <w:t>) and proof of address at the building site or a rates notice will be required to obtain the below pricing. </w:t>
      </w:r>
      <w:r w:rsidRPr="00BB7F9C">
        <w:br/>
        <w:t>  </w:t>
      </w:r>
      <w:r w:rsidRPr="00BB7F9C">
        <w:br/>
        <w:t xml:space="preserve">The Parks terms and conditions can be found on our website and </w:t>
      </w:r>
      <w:proofErr w:type="gramStart"/>
      <w:r w:rsidRPr="00BB7F9C">
        <w:t>Long term</w:t>
      </w:r>
      <w:proofErr w:type="gramEnd"/>
      <w:r w:rsidRPr="00BB7F9C">
        <w:t xml:space="preserve"> bookings will be considered at the discretion of management upon time of inquiry. </w:t>
      </w:r>
      <w:r w:rsidRPr="00BB7F9C">
        <w:br/>
        <w:t>  </w:t>
      </w:r>
      <w:r w:rsidRPr="00BB7F9C">
        <w:br/>
        <w:t>Fees: </w:t>
      </w:r>
    </w:p>
    <w:tbl>
      <w:tblPr>
        <w:tblW w:w="6662"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2184"/>
        <w:gridCol w:w="1076"/>
        <w:gridCol w:w="851"/>
        <w:gridCol w:w="2551"/>
      </w:tblGrid>
      <w:tr w:rsidR="00BB7F9C" w:rsidRPr="00BB7F9C" w14:paraId="29CC2A7C" w14:textId="77777777" w:rsidTr="00BB7F9C">
        <w:trPr>
          <w:trHeight w:val="160"/>
        </w:trPr>
        <w:tc>
          <w:tcPr>
            <w:tcW w:w="2184"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hideMark/>
          </w:tcPr>
          <w:p w14:paraId="265EF9DA" w14:textId="77777777" w:rsidR="00BB7F9C" w:rsidRPr="005B65B5" w:rsidRDefault="00BB7F9C" w:rsidP="00BB7F9C">
            <w:r w:rsidRPr="005B65B5">
              <w:t>Accommodation Type</w:t>
            </w:r>
          </w:p>
        </w:tc>
        <w:tc>
          <w:tcPr>
            <w:tcW w:w="1076" w:type="dxa"/>
            <w:tcBorders>
              <w:top w:val="single" w:sz="6"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hideMark/>
          </w:tcPr>
          <w:p w14:paraId="24A3F099" w14:textId="77777777" w:rsidR="00BB7F9C" w:rsidRPr="005B65B5" w:rsidRDefault="00BB7F9C" w:rsidP="00BB7F9C">
            <w:r w:rsidRPr="005B65B5">
              <w:t>Number of People</w:t>
            </w:r>
          </w:p>
        </w:tc>
        <w:tc>
          <w:tcPr>
            <w:tcW w:w="851" w:type="dxa"/>
            <w:tcBorders>
              <w:top w:val="single" w:sz="6" w:space="0" w:color="000000"/>
              <w:left w:val="single" w:sz="18" w:space="0" w:color="000000"/>
              <w:bottom w:val="single" w:sz="18" w:space="0" w:color="000000"/>
              <w:right w:val="single" w:sz="18" w:space="0" w:color="000000"/>
            </w:tcBorders>
            <w:shd w:val="clear" w:color="auto" w:fill="FFFFFF"/>
          </w:tcPr>
          <w:p w14:paraId="4051D8BD" w14:textId="77777777" w:rsidR="00BB7F9C" w:rsidRPr="005B65B5" w:rsidRDefault="00BB7F9C" w:rsidP="00BB7F9C">
            <w:r w:rsidRPr="005B65B5">
              <w:t>Rate</w:t>
            </w:r>
          </w:p>
        </w:tc>
        <w:tc>
          <w:tcPr>
            <w:tcW w:w="2551" w:type="dxa"/>
            <w:tcBorders>
              <w:top w:val="single" w:sz="6" w:space="0" w:color="000000"/>
              <w:left w:val="single" w:sz="18" w:space="0" w:color="000000"/>
              <w:bottom w:val="single" w:sz="18" w:space="0" w:color="000000"/>
              <w:right w:val="single" w:sz="18" w:space="0" w:color="000000"/>
            </w:tcBorders>
            <w:shd w:val="clear" w:color="auto" w:fill="FFFFFF"/>
          </w:tcPr>
          <w:p w14:paraId="1EF4A0DE" w14:textId="77777777" w:rsidR="00BB7F9C" w:rsidRPr="00BB7F9C" w:rsidRDefault="00BB7F9C" w:rsidP="00BB7F9C">
            <w:r w:rsidRPr="00BB7F9C">
              <w:t>Extras</w:t>
            </w:r>
          </w:p>
        </w:tc>
      </w:tr>
      <w:tr w:rsidR="00BB7F9C" w:rsidRPr="00BB7F9C" w14:paraId="40A6B294" w14:textId="77777777" w:rsidTr="00BB7F9C">
        <w:trPr>
          <w:trHeight w:val="160"/>
        </w:trPr>
        <w:tc>
          <w:tcPr>
            <w:tcW w:w="2184" w:type="dxa"/>
            <w:tcBorders>
              <w:top w:val="single" w:sz="1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hideMark/>
          </w:tcPr>
          <w:p w14:paraId="1886959D" w14:textId="77777777" w:rsidR="00BB7F9C" w:rsidRPr="005B65B5" w:rsidRDefault="00BB7F9C" w:rsidP="00BB7F9C">
            <w:r w:rsidRPr="005B65B5">
              <w:t>Cabins:</w:t>
            </w:r>
          </w:p>
        </w:tc>
        <w:tc>
          <w:tcPr>
            <w:tcW w:w="1076"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hideMark/>
          </w:tcPr>
          <w:p w14:paraId="7E267535" w14:textId="77777777" w:rsidR="00BB7F9C" w:rsidRPr="005B65B5" w:rsidRDefault="00BB7F9C" w:rsidP="00BB7F9C">
            <w:r w:rsidRPr="005B65B5">
              <w:t>2 Adults</w:t>
            </w:r>
          </w:p>
        </w:tc>
        <w:tc>
          <w:tcPr>
            <w:tcW w:w="851" w:type="dxa"/>
            <w:tcBorders>
              <w:top w:val="single" w:sz="18" w:space="0" w:color="000000"/>
              <w:left w:val="single" w:sz="18" w:space="0" w:color="000000"/>
              <w:bottom w:val="single" w:sz="18" w:space="0" w:color="000000"/>
              <w:right w:val="single" w:sz="18" w:space="0" w:color="000000"/>
            </w:tcBorders>
            <w:shd w:val="clear" w:color="auto" w:fill="FFFFFF"/>
          </w:tcPr>
          <w:p w14:paraId="246B75E8" w14:textId="77777777" w:rsidR="00BB7F9C" w:rsidRPr="005B65B5" w:rsidRDefault="00BB7F9C" w:rsidP="00BB7F9C">
            <w:r w:rsidRPr="005B65B5">
              <w:t>$50.00</w:t>
            </w:r>
          </w:p>
        </w:tc>
        <w:tc>
          <w:tcPr>
            <w:tcW w:w="2551" w:type="dxa"/>
            <w:tcBorders>
              <w:top w:val="single" w:sz="18" w:space="0" w:color="000000"/>
              <w:left w:val="single" w:sz="18" w:space="0" w:color="000000"/>
              <w:bottom w:val="single" w:sz="18" w:space="0" w:color="000000"/>
              <w:right w:val="single" w:sz="18" w:space="0" w:color="000000"/>
            </w:tcBorders>
            <w:shd w:val="clear" w:color="auto" w:fill="FFFFFF"/>
          </w:tcPr>
          <w:p w14:paraId="4996FE4D" w14:textId="77777777" w:rsidR="00BB7F9C" w:rsidRPr="00BB7F9C" w:rsidRDefault="00BB7F9C" w:rsidP="00BB7F9C">
            <w:r w:rsidRPr="005B65B5">
              <w:t>Extra Adult $12.00 ea.</w:t>
            </w:r>
            <w:r w:rsidRPr="00BB7F9C">
              <w:t> </w:t>
            </w:r>
            <w:r w:rsidRPr="005B65B5">
              <w:br/>
              <w:t xml:space="preserve">Extra Children $8.00 </w:t>
            </w:r>
            <w:proofErr w:type="spellStart"/>
            <w:r w:rsidRPr="005B65B5">
              <w:t>ea</w:t>
            </w:r>
            <w:proofErr w:type="spellEnd"/>
          </w:p>
        </w:tc>
      </w:tr>
      <w:tr w:rsidR="00BB7F9C" w:rsidRPr="00BB7F9C" w14:paraId="6E787E9E" w14:textId="77777777" w:rsidTr="00BB7F9C">
        <w:trPr>
          <w:trHeight w:val="160"/>
        </w:trPr>
        <w:tc>
          <w:tcPr>
            <w:tcW w:w="2184" w:type="dxa"/>
            <w:tcBorders>
              <w:top w:val="single" w:sz="1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hideMark/>
          </w:tcPr>
          <w:p w14:paraId="561DB31A" w14:textId="77777777" w:rsidR="00BB7F9C" w:rsidRPr="005B65B5" w:rsidRDefault="00BB7F9C" w:rsidP="00BB7F9C">
            <w:r w:rsidRPr="005B65B5">
              <w:lastRenderedPageBreak/>
              <w:t>Powered Site:</w:t>
            </w:r>
          </w:p>
        </w:tc>
        <w:tc>
          <w:tcPr>
            <w:tcW w:w="1076"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hideMark/>
          </w:tcPr>
          <w:p w14:paraId="4C6CD665" w14:textId="77777777" w:rsidR="00BB7F9C" w:rsidRPr="005B65B5" w:rsidRDefault="00BB7F9C" w:rsidP="00BB7F9C">
            <w:r w:rsidRPr="005B65B5">
              <w:t>2 Adults</w:t>
            </w:r>
          </w:p>
        </w:tc>
        <w:tc>
          <w:tcPr>
            <w:tcW w:w="851" w:type="dxa"/>
            <w:tcBorders>
              <w:top w:val="single" w:sz="18" w:space="0" w:color="000000"/>
              <w:left w:val="single" w:sz="18" w:space="0" w:color="000000"/>
              <w:bottom w:val="single" w:sz="18" w:space="0" w:color="000000"/>
              <w:right w:val="single" w:sz="18" w:space="0" w:color="000000"/>
            </w:tcBorders>
            <w:shd w:val="clear" w:color="auto" w:fill="FFFFFF"/>
          </w:tcPr>
          <w:p w14:paraId="0669B464" w14:textId="77777777" w:rsidR="00BB7F9C" w:rsidRPr="005B65B5" w:rsidRDefault="00BB7F9C" w:rsidP="00BB7F9C">
            <w:r w:rsidRPr="005B65B5">
              <w:t>$30.00</w:t>
            </w:r>
          </w:p>
        </w:tc>
        <w:tc>
          <w:tcPr>
            <w:tcW w:w="2551" w:type="dxa"/>
            <w:tcBorders>
              <w:top w:val="single" w:sz="18" w:space="0" w:color="000000"/>
              <w:left w:val="single" w:sz="18" w:space="0" w:color="000000"/>
              <w:bottom w:val="single" w:sz="18" w:space="0" w:color="000000"/>
              <w:right w:val="single" w:sz="18" w:space="0" w:color="000000"/>
            </w:tcBorders>
            <w:shd w:val="clear" w:color="auto" w:fill="FFFFFF"/>
          </w:tcPr>
          <w:p w14:paraId="203A0FAF" w14:textId="77777777" w:rsidR="00BB7F9C" w:rsidRPr="00BB7F9C" w:rsidRDefault="00BB7F9C" w:rsidP="00BB7F9C">
            <w:r w:rsidRPr="005B65B5">
              <w:t>Extra Adult $12.00 ea.</w:t>
            </w:r>
            <w:r w:rsidRPr="00BB7F9C">
              <w:t> </w:t>
            </w:r>
            <w:r w:rsidRPr="005B65B5">
              <w:br/>
              <w:t>Extra Children $8.00 ea.</w:t>
            </w:r>
          </w:p>
        </w:tc>
      </w:tr>
      <w:tr w:rsidR="00BB7F9C" w:rsidRPr="00BB7F9C" w14:paraId="08BFAF47" w14:textId="77777777" w:rsidTr="00BB7F9C">
        <w:trPr>
          <w:trHeight w:val="160"/>
        </w:trPr>
        <w:tc>
          <w:tcPr>
            <w:tcW w:w="2184"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hideMark/>
          </w:tcPr>
          <w:p w14:paraId="1F9E6FA2" w14:textId="77777777" w:rsidR="00BB7F9C" w:rsidRPr="005B65B5" w:rsidRDefault="00BB7F9C" w:rsidP="00BB7F9C">
            <w:r w:rsidRPr="005B65B5">
              <w:t>Unpowered Site</w:t>
            </w:r>
          </w:p>
        </w:tc>
        <w:tc>
          <w:tcPr>
            <w:tcW w:w="1076" w:type="dxa"/>
            <w:tcBorders>
              <w:top w:val="single" w:sz="18" w:space="0" w:color="000000"/>
              <w:left w:val="single" w:sz="18" w:space="0" w:color="000000"/>
              <w:bottom w:val="single" w:sz="6" w:space="0" w:color="000000"/>
              <w:right w:val="single" w:sz="18" w:space="0" w:color="000000"/>
            </w:tcBorders>
            <w:shd w:val="clear" w:color="auto" w:fill="FFFFFF"/>
            <w:tcMar>
              <w:top w:w="0" w:type="dxa"/>
              <w:left w:w="0" w:type="dxa"/>
              <w:bottom w:w="0" w:type="dxa"/>
              <w:right w:w="0" w:type="dxa"/>
            </w:tcMar>
            <w:hideMark/>
          </w:tcPr>
          <w:p w14:paraId="1C2D53A0" w14:textId="77777777" w:rsidR="00BB7F9C" w:rsidRPr="005B65B5" w:rsidRDefault="00BB7F9C" w:rsidP="00BB7F9C">
            <w:r w:rsidRPr="005B65B5">
              <w:t>2 Adults</w:t>
            </w:r>
          </w:p>
        </w:tc>
        <w:tc>
          <w:tcPr>
            <w:tcW w:w="851" w:type="dxa"/>
            <w:tcBorders>
              <w:top w:val="single" w:sz="18" w:space="0" w:color="000000"/>
              <w:left w:val="single" w:sz="18" w:space="0" w:color="000000"/>
              <w:bottom w:val="single" w:sz="6" w:space="0" w:color="000000"/>
              <w:right w:val="single" w:sz="18" w:space="0" w:color="000000"/>
            </w:tcBorders>
            <w:shd w:val="clear" w:color="auto" w:fill="FFFFFF"/>
          </w:tcPr>
          <w:p w14:paraId="11EDD654" w14:textId="77777777" w:rsidR="00BB7F9C" w:rsidRPr="005B65B5" w:rsidRDefault="00BB7F9C" w:rsidP="00BB7F9C">
            <w:r w:rsidRPr="005B65B5">
              <w:t>$15.00</w:t>
            </w:r>
          </w:p>
        </w:tc>
        <w:tc>
          <w:tcPr>
            <w:tcW w:w="2551" w:type="dxa"/>
            <w:tcBorders>
              <w:top w:val="single" w:sz="18" w:space="0" w:color="000000"/>
              <w:left w:val="single" w:sz="18" w:space="0" w:color="000000"/>
              <w:bottom w:val="single" w:sz="6" w:space="0" w:color="000000"/>
              <w:right w:val="single" w:sz="18" w:space="0" w:color="000000"/>
            </w:tcBorders>
            <w:shd w:val="clear" w:color="auto" w:fill="FFFFFF"/>
          </w:tcPr>
          <w:p w14:paraId="6C4406A4" w14:textId="77777777" w:rsidR="00BB7F9C" w:rsidRPr="00BB7F9C" w:rsidRDefault="00BB7F9C" w:rsidP="00BB7F9C">
            <w:r w:rsidRPr="005B65B5">
              <w:t>Extra Adult $12.00 ea.</w:t>
            </w:r>
            <w:r w:rsidRPr="00BB7F9C">
              <w:t> </w:t>
            </w:r>
            <w:r w:rsidRPr="005B65B5">
              <w:br/>
              <w:t xml:space="preserve">Extra Children $8.00 </w:t>
            </w:r>
            <w:proofErr w:type="spellStart"/>
            <w:r w:rsidRPr="005B65B5">
              <w:t>ea</w:t>
            </w:r>
            <w:proofErr w:type="spellEnd"/>
          </w:p>
        </w:tc>
      </w:tr>
    </w:tbl>
    <w:p w14:paraId="32EE3825" w14:textId="588F008E" w:rsidR="00BB7F9C" w:rsidRPr="00BB7F9C" w:rsidRDefault="00BB7F9C" w:rsidP="00BB7F9C">
      <w:r w:rsidRPr="00BB7F9C">
        <w:br/>
        <w:t>  </w:t>
      </w:r>
      <w:r w:rsidRPr="00BB7F9C">
        <w:br/>
        <w:t>If you have any queries regarding any of the above or wish to discuss your accommodation requirements, please do hesitate in contacting our Bookings team members on 5237 6577 </w:t>
      </w:r>
    </w:p>
    <w:p w14:paraId="4A4F01A8" w14:textId="77777777" w:rsidR="00744D72" w:rsidRPr="00744D72" w:rsidRDefault="00744D72" w:rsidP="00BB7F9C"/>
    <w:sectPr w:rsidR="00744D72" w:rsidRPr="00744D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72"/>
    <w:rsid w:val="00000C41"/>
    <w:rsid w:val="00061264"/>
    <w:rsid w:val="000A70A7"/>
    <w:rsid w:val="002178FD"/>
    <w:rsid w:val="00291F7F"/>
    <w:rsid w:val="002A5BBC"/>
    <w:rsid w:val="004C09F8"/>
    <w:rsid w:val="00506798"/>
    <w:rsid w:val="005676C0"/>
    <w:rsid w:val="00581F05"/>
    <w:rsid w:val="00744D72"/>
    <w:rsid w:val="0078048C"/>
    <w:rsid w:val="0082308B"/>
    <w:rsid w:val="00852B19"/>
    <w:rsid w:val="00904553"/>
    <w:rsid w:val="00941281"/>
    <w:rsid w:val="00A633AE"/>
    <w:rsid w:val="00A74CA7"/>
    <w:rsid w:val="00A76EBD"/>
    <w:rsid w:val="00BB7F9C"/>
    <w:rsid w:val="00DC0892"/>
    <w:rsid w:val="00E55FC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75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A633AE"/>
    <w:pPr>
      <w:keepNext/>
      <w:keepLines/>
      <w:spacing w:before="200" w:after="0"/>
      <w:outlineLvl w:val="2"/>
    </w:pPr>
    <w:rPr>
      <w:rFonts w:ascii="Arial" w:eastAsiaTheme="majorEastAsia" w:hAnsi="Arial"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D72"/>
    <w:rPr>
      <w:rFonts w:ascii="Tahoma" w:hAnsi="Tahoma" w:cs="Tahoma"/>
      <w:sz w:val="16"/>
      <w:szCs w:val="16"/>
    </w:rPr>
  </w:style>
  <w:style w:type="character" w:customStyle="1" w:styleId="apple-converted-space">
    <w:name w:val="apple-converted-space"/>
    <w:basedOn w:val="DefaultParagraphFont"/>
    <w:rsid w:val="00941281"/>
  </w:style>
  <w:style w:type="character" w:customStyle="1" w:styleId="Heading3Char">
    <w:name w:val="Heading 3 Char"/>
    <w:basedOn w:val="DefaultParagraphFont"/>
    <w:link w:val="Heading3"/>
    <w:uiPriority w:val="9"/>
    <w:rsid w:val="00A633AE"/>
    <w:rPr>
      <w:rFonts w:ascii="Arial" w:eastAsiaTheme="majorEastAsia" w:hAnsi="Arial" w:cstheme="majorBidi"/>
      <w:b/>
      <w:bCs/>
      <w:sz w:val="24"/>
    </w:rPr>
  </w:style>
  <w:style w:type="paragraph" w:styleId="NormalWeb">
    <w:name w:val="Normal (Web)"/>
    <w:basedOn w:val="Normal"/>
    <w:uiPriority w:val="99"/>
    <w:semiHidden/>
    <w:unhideWhenUsed/>
    <w:rsid w:val="00000C41"/>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A633AE"/>
    <w:pPr>
      <w:keepNext/>
      <w:keepLines/>
      <w:spacing w:before="200" w:after="0"/>
      <w:outlineLvl w:val="2"/>
    </w:pPr>
    <w:rPr>
      <w:rFonts w:ascii="Arial" w:eastAsiaTheme="majorEastAsia" w:hAnsi="Arial"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D72"/>
    <w:rPr>
      <w:rFonts w:ascii="Tahoma" w:hAnsi="Tahoma" w:cs="Tahoma"/>
      <w:sz w:val="16"/>
      <w:szCs w:val="16"/>
    </w:rPr>
  </w:style>
  <w:style w:type="character" w:customStyle="1" w:styleId="apple-converted-space">
    <w:name w:val="apple-converted-space"/>
    <w:basedOn w:val="DefaultParagraphFont"/>
    <w:rsid w:val="00941281"/>
  </w:style>
  <w:style w:type="character" w:customStyle="1" w:styleId="Heading3Char">
    <w:name w:val="Heading 3 Char"/>
    <w:basedOn w:val="DefaultParagraphFont"/>
    <w:link w:val="Heading3"/>
    <w:uiPriority w:val="9"/>
    <w:rsid w:val="00A633AE"/>
    <w:rPr>
      <w:rFonts w:ascii="Arial" w:eastAsiaTheme="majorEastAsia" w:hAnsi="Arial" w:cstheme="majorBidi"/>
      <w:b/>
      <w:bCs/>
      <w:sz w:val="24"/>
    </w:rPr>
  </w:style>
  <w:style w:type="paragraph" w:styleId="NormalWeb">
    <w:name w:val="Normal (Web)"/>
    <w:basedOn w:val="Normal"/>
    <w:uiPriority w:val="99"/>
    <w:semiHidden/>
    <w:unhideWhenUsed/>
    <w:rsid w:val="00000C41"/>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039">
      <w:bodyDiv w:val="1"/>
      <w:marLeft w:val="0"/>
      <w:marRight w:val="0"/>
      <w:marTop w:val="0"/>
      <w:marBottom w:val="0"/>
      <w:divBdr>
        <w:top w:val="none" w:sz="0" w:space="0" w:color="auto"/>
        <w:left w:val="none" w:sz="0" w:space="0" w:color="auto"/>
        <w:bottom w:val="none" w:sz="0" w:space="0" w:color="auto"/>
        <w:right w:val="none" w:sz="0" w:space="0" w:color="auto"/>
      </w:divBdr>
    </w:div>
    <w:div w:id="80034011">
      <w:bodyDiv w:val="1"/>
      <w:marLeft w:val="0"/>
      <w:marRight w:val="0"/>
      <w:marTop w:val="0"/>
      <w:marBottom w:val="0"/>
      <w:divBdr>
        <w:top w:val="none" w:sz="0" w:space="0" w:color="auto"/>
        <w:left w:val="none" w:sz="0" w:space="0" w:color="auto"/>
        <w:bottom w:val="none" w:sz="0" w:space="0" w:color="auto"/>
        <w:right w:val="none" w:sz="0" w:space="0" w:color="auto"/>
      </w:divBdr>
    </w:div>
    <w:div w:id="203101070">
      <w:bodyDiv w:val="1"/>
      <w:marLeft w:val="0"/>
      <w:marRight w:val="0"/>
      <w:marTop w:val="0"/>
      <w:marBottom w:val="0"/>
      <w:divBdr>
        <w:top w:val="none" w:sz="0" w:space="0" w:color="auto"/>
        <w:left w:val="none" w:sz="0" w:space="0" w:color="auto"/>
        <w:bottom w:val="none" w:sz="0" w:space="0" w:color="auto"/>
        <w:right w:val="none" w:sz="0" w:space="0" w:color="auto"/>
      </w:divBdr>
    </w:div>
    <w:div w:id="316760838">
      <w:bodyDiv w:val="1"/>
      <w:marLeft w:val="0"/>
      <w:marRight w:val="0"/>
      <w:marTop w:val="0"/>
      <w:marBottom w:val="0"/>
      <w:divBdr>
        <w:top w:val="none" w:sz="0" w:space="0" w:color="auto"/>
        <w:left w:val="none" w:sz="0" w:space="0" w:color="auto"/>
        <w:bottom w:val="none" w:sz="0" w:space="0" w:color="auto"/>
        <w:right w:val="none" w:sz="0" w:space="0" w:color="auto"/>
      </w:divBdr>
    </w:div>
    <w:div w:id="1043673452">
      <w:bodyDiv w:val="1"/>
      <w:marLeft w:val="0"/>
      <w:marRight w:val="0"/>
      <w:marTop w:val="0"/>
      <w:marBottom w:val="0"/>
      <w:divBdr>
        <w:top w:val="none" w:sz="0" w:space="0" w:color="auto"/>
        <w:left w:val="none" w:sz="0" w:space="0" w:color="auto"/>
        <w:bottom w:val="none" w:sz="0" w:space="0" w:color="auto"/>
        <w:right w:val="none" w:sz="0" w:space="0" w:color="auto"/>
      </w:divBdr>
    </w:div>
    <w:div w:id="1201674637">
      <w:bodyDiv w:val="1"/>
      <w:marLeft w:val="0"/>
      <w:marRight w:val="0"/>
      <w:marTop w:val="0"/>
      <w:marBottom w:val="0"/>
      <w:divBdr>
        <w:top w:val="none" w:sz="0" w:space="0" w:color="auto"/>
        <w:left w:val="none" w:sz="0" w:space="0" w:color="auto"/>
        <w:bottom w:val="none" w:sz="0" w:space="0" w:color="auto"/>
        <w:right w:val="none" w:sz="0" w:space="0" w:color="auto"/>
      </w:divBdr>
    </w:div>
    <w:div w:id="186077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327</Words>
  <Characters>1870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Colac Otway Shire Council</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Kennedy</dc:creator>
  <cp:lastModifiedBy>Caroline Ottinger</cp:lastModifiedBy>
  <cp:revision>2</cp:revision>
  <dcterms:created xsi:type="dcterms:W3CDTF">2017-05-23T09:30:00Z</dcterms:created>
  <dcterms:modified xsi:type="dcterms:W3CDTF">2017-05-23T09:30:00Z</dcterms:modified>
</cp:coreProperties>
</file>